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F9" w:rsidRPr="008E579A" w:rsidRDefault="000C20F9" w:rsidP="000C20F9">
      <w:pPr>
        <w:keepNext/>
        <w:ind w:left="0" w:hanging="2"/>
        <w:rPr>
          <w:rFonts w:ascii="Arial" w:hAnsi="Arial" w:cs="Arial"/>
          <w:color w:val="B6DDE8" w:themeColor="accent5" w:themeTint="66"/>
          <w:position w:val="0"/>
          <w:sz w:val="22"/>
          <w:szCs w:val="22"/>
          <w:lang w:eastAsia="en-GB"/>
        </w:rPr>
      </w:pPr>
      <w:r w:rsidRPr="008E579A">
        <w:rPr>
          <w:rFonts w:ascii="Arial" w:hAnsi="Arial" w:cs="Arial"/>
          <w:color w:val="B6DDE8" w:themeColor="accent5" w:themeTint="66"/>
          <w:sz w:val="22"/>
          <w:szCs w:val="22"/>
        </w:rPr>
        <w:t>North Street, Isleworth Middlesex TW7 6RQ</w:t>
      </w:r>
      <w:r w:rsidRPr="008E579A">
        <w:rPr>
          <w:rFonts w:ascii="Arial" w:hAnsi="Arial" w:cs="Arial"/>
          <w:color w:val="B6DDE8" w:themeColor="accent5" w:themeTint="66"/>
          <w:sz w:val="22"/>
          <w:szCs w:val="22"/>
        </w:rPr>
        <w:tab/>
      </w:r>
      <w:r w:rsidRPr="008E579A">
        <w:rPr>
          <w:rFonts w:ascii="Arial" w:hAnsi="Arial" w:cs="Arial"/>
          <w:color w:val="B6DDE8" w:themeColor="accent5" w:themeTint="66"/>
          <w:sz w:val="22"/>
          <w:szCs w:val="22"/>
        </w:rPr>
        <w:tab/>
      </w:r>
      <w:r w:rsidRPr="008E579A">
        <w:rPr>
          <w:rFonts w:ascii="Arial" w:hAnsi="Arial" w:cs="Arial"/>
          <w:color w:val="B6DDE8" w:themeColor="accent5" w:themeTint="66"/>
          <w:sz w:val="22"/>
          <w:szCs w:val="22"/>
        </w:rPr>
        <w:tab/>
      </w:r>
      <w:r w:rsidRPr="008E579A">
        <w:rPr>
          <w:rFonts w:ascii="Arial" w:hAnsi="Arial" w:cs="Arial"/>
          <w:color w:val="B6DDE8" w:themeColor="accent5" w:themeTint="66"/>
          <w:sz w:val="22"/>
          <w:szCs w:val="22"/>
        </w:rPr>
        <w:tab/>
      </w:r>
      <w:r w:rsidRPr="008E579A">
        <w:rPr>
          <w:rFonts w:ascii="Arial" w:hAnsi="Arial" w:cs="Arial"/>
          <w:color w:val="B6DDE8" w:themeColor="accent5" w:themeTint="66"/>
          <w:sz w:val="22"/>
          <w:szCs w:val="22"/>
        </w:rPr>
        <w:tab/>
        <w:t xml:space="preserve">     020 8560 6721</w:t>
      </w:r>
    </w:p>
    <w:p w:rsidR="000C20F9" w:rsidRPr="000C20F9" w:rsidRDefault="000C20F9" w:rsidP="000C20F9">
      <w:pPr>
        <w:ind w:left="0" w:hanging="2"/>
        <w:rPr>
          <w:rFonts w:ascii="Arial" w:hAnsi="Arial" w:cs="Arial"/>
          <w:color w:val="0B5394"/>
          <w:sz w:val="21"/>
          <w:szCs w:val="21"/>
        </w:rPr>
      </w:pPr>
      <w:bookmarkStart w:id="0" w:name="_Hlk177725036"/>
      <w:r w:rsidRPr="000C20F9">
        <w:rPr>
          <w:rFonts w:ascii="Arial" w:hAnsi="Arial" w:cs="Arial"/>
          <w:color w:val="0B5394"/>
          <w:sz w:val="21"/>
          <w:szCs w:val="21"/>
        </w:rPr>
        <w:t>Headteacher: Mr Matt White BSc (Hons) PGCE</w:t>
      </w:r>
      <w:bookmarkEnd w:id="0"/>
      <w:r w:rsidRPr="000C20F9">
        <w:rPr>
          <w:rFonts w:ascii="Arial" w:hAnsi="Arial" w:cs="Arial"/>
          <w:color w:val="0B5394"/>
          <w:sz w:val="21"/>
          <w:szCs w:val="21"/>
        </w:rPr>
        <w:tab/>
        <w:t xml:space="preserve">   Chair of Governors: Mrs Stephanie Ajayi</w:t>
      </w:r>
    </w:p>
    <w:p w:rsidR="00F24716" w:rsidRDefault="00F24716">
      <w:pPr>
        <w:widowControl w:val="0"/>
        <w:ind w:left="0" w:hanging="2"/>
        <w:rPr>
          <w:rFonts w:ascii="Arial" w:eastAsia="Arial" w:hAnsi="Arial" w:cs="Arial"/>
          <w:sz w:val="22"/>
          <w:szCs w:val="22"/>
        </w:rPr>
      </w:pPr>
    </w:p>
    <w:p w:rsidR="00F24716" w:rsidRDefault="00F24716">
      <w:pPr>
        <w:widowControl w:val="0"/>
        <w:ind w:left="0" w:hanging="2"/>
        <w:rPr>
          <w:rFonts w:ascii="Arial" w:eastAsia="Arial" w:hAnsi="Arial" w:cs="Arial"/>
          <w:sz w:val="22"/>
          <w:szCs w:val="22"/>
        </w:rPr>
      </w:pPr>
    </w:p>
    <w:p w:rsidR="00F24716" w:rsidRDefault="00F24716">
      <w:pPr>
        <w:pStyle w:val="Heading1"/>
        <w:ind w:left="0" w:hanging="2"/>
        <w:rPr>
          <w:rFonts w:ascii="Arial" w:eastAsia="Arial" w:hAnsi="Arial" w:cs="Arial"/>
          <w:sz w:val="22"/>
          <w:szCs w:val="22"/>
        </w:rPr>
      </w:pPr>
    </w:p>
    <w:p w:rsidR="00F24716" w:rsidRDefault="000C20F9">
      <w:pPr>
        <w:pStyle w:val="Heading1"/>
        <w:ind w:left="0" w:hanging="2"/>
        <w:rPr>
          <w:rFonts w:ascii="Arial" w:eastAsia="Arial" w:hAnsi="Arial" w:cs="Arial"/>
          <w:color w:val="000000"/>
          <w:sz w:val="22"/>
          <w:szCs w:val="22"/>
        </w:rPr>
      </w:pPr>
      <w:r>
        <w:rPr>
          <w:rFonts w:ascii="Arial" w:eastAsia="Arial" w:hAnsi="Arial" w:cs="Arial"/>
          <w:color w:val="000000"/>
          <w:sz w:val="22"/>
          <w:szCs w:val="22"/>
        </w:rPr>
        <w:t>ADMISSIONS CRITERIA</w:t>
      </w:r>
    </w:p>
    <w:p w:rsidR="00F24716" w:rsidRDefault="00F24716">
      <w:pPr>
        <w:ind w:left="0" w:hanging="2"/>
        <w:rPr>
          <w:rFonts w:ascii="Arial" w:eastAsia="Arial" w:hAnsi="Arial" w:cs="Arial"/>
        </w:rPr>
      </w:pPr>
    </w:p>
    <w:p w:rsidR="00F24716" w:rsidRDefault="000C20F9">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color w:val="000000"/>
          <w:sz w:val="22"/>
          <w:szCs w:val="22"/>
        </w:rPr>
        <w:t>As The Blue School is a Church of England, voluntary aided (VA) school, it has no rigid catchment area within which children are expected to live.  For many years the number of children for whom parents have sought admission to the Reception Class has been in excess of the numb</w:t>
      </w:r>
      <w:bookmarkStart w:id="1" w:name="_GoBack"/>
      <w:bookmarkEnd w:id="1"/>
      <w:r>
        <w:rPr>
          <w:rFonts w:ascii="Arial" w:eastAsia="Arial" w:hAnsi="Arial" w:cs="Arial"/>
          <w:color w:val="000000"/>
          <w:sz w:val="22"/>
          <w:szCs w:val="22"/>
        </w:rPr>
        <w:t>er of places available (60).  Where there are more applications than places available, the following criteria, which are set down in order of strict priority, will be used:</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sz w:val="22"/>
          <w:szCs w:val="22"/>
        </w:rPr>
      </w:pPr>
    </w:p>
    <w:p w:rsidR="00F24716" w:rsidRDefault="000C20F9">
      <w:pPr>
        <w:widowControl w:val="0"/>
        <w:numPr>
          <w:ilvl w:val="0"/>
          <w:numId w:val="3"/>
        </w:numPr>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b/>
          <w:color w:val="000000"/>
          <w:sz w:val="22"/>
          <w:szCs w:val="22"/>
        </w:rPr>
        <w:t>Church of England looked after children and previously looked after children (see note 4h).</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p>
    <w:p w:rsidR="00F24716" w:rsidRDefault="000C20F9">
      <w:pPr>
        <w:widowControl w:val="0"/>
        <w:numPr>
          <w:ilvl w:val="0"/>
          <w:numId w:val="3"/>
        </w:numPr>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b/>
          <w:color w:val="000000"/>
          <w:sz w:val="22"/>
          <w:szCs w:val="22"/>
        </w:rPr>
        <w:t>Active membership (see note 4a) by the child’s family (see note 4g) of a Church of England Church.</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p>
    <w:p w:rsidR="00F24716" w:rsidRDefault="000C20F9">
      <w:pPr>
        <w:widowControl w:val="0"/>
        <w:numPr>
          <w:ilvl w:val="0"/>
          <w:numId w:val="3"/>
        </w:numPr>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b/>
          <w:color w:val="000000"/>
          <w:sz w:val="22"/>
          <w:szCs w:val="22"/>
        </w:rPr>
        <w:t>All other looked after children and previously looked after children (see note 4h).</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p>
    <w:p w:rsidR="00F24716" w:rsidRDefault="000C20F9">
      <w:pPr>
        <w:widowControl w:val="0"/>
        <w:numPr>
          <w:ilvl w:val="0"/>
          <w:numId w:val="3"/>
        </w:numPr>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b/>
          <w:color w:val="000000"/>
          <w:sz w:val="22"/>
          <w:szCs w:val="22"/>
        </w:rPr>
        <w:t>Active membership (se</w:t>
      </w:r>
      <w:r>
        <w:rPr>
          <w:rFonts w:ascii="Arial" w:eastAsia="Arial" w:hAnsi="Arial" w:cs="Arial"/>
          <w:b/>
          <w:sz w:val="22"/>
          <w:szCs w:val="22"/>
        </w:rPr>
        <w:t xml:space="preserve">e note 4a) </w:t>
      </w:r>
      <w:r>
        <w:rPr>
          <w:rFonts w:ascii="Arial" w:eastAsia="Arial" w:hAnsi="Arial" w:cs="Arial"/>
          <w:b/>
          <w:color w:val="000000"/>
          <w:sz w:val="22"/>
          <w:szCs w:val="22"/>
        </w:rPr>
        <w:t>by the child’s family (see note 4g) of another Christian (see note 4b) denomination.</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p>
    <w:p w:rsidR="00F24716" w:rsidRDefault="000C20F9">
      <w:pPr>
        <w:widowControl w:val="0"/>
        <w:numPr>
          <w:ilvl w:val="0"/>
          <w:numId w:val="3"/>
        </w:numPr>
        <w:pBdr>
          <w:top w:val="nil"/>
          <w:left w:val="nil"/>
          <w:bottom w:val="nil"/>
          <w:right w:val="nil"/>
          <w:between w:val="nil"/>
        </w:pBdr>
        <w:spacing w:line="240" w:lineRule="auto"/>
        <w:ind w:left="0" w:right="493" w:hanging="2"/>
        <w:rPr>
          <w:rFonts w:ascii="Arial" w:eastAsia="Arial" w:hAnsi="Arial" w:cs="Arial"/>
          <w:color w:val="000000"/>
          <w:sz w:val="22"/>
          <w:szCs w:val="22"/>
        </w:rPr>
      </w:pPr>
      <w:r>
        <w:rPr>
          <w:rFonts w:ascii="Arial" w:eastAsia="Arial" w:hAnsi="Arial" w:cs="Arial"/>
          <w:b/>
          <w:color w:val="000000"/>
          <w:sz w:val="22"/>
          <w:szCs w:val="22"/>
        </w:rPr>
        <w:t>An applicant who desires a religious background to education and is an active member of another faith.</w:t>
      </w:r>
    </w:p>
    <w:p w:rsidR="00F24716" w:rsidRDefault="00F24716">
      <w:pPr>
        <w:widowControl w:val="0"/>
        <w:pBdr>
          <w:top w:val="nil"/>
          <w:left w:val="nil"/>
          <w:bottom w:val="nil"/>
          <w:right w:val="nil"/>
          <w:between w:val="nil"/>
        </w:pBdr>
        <w:spacing w:line="240" w:lineRule="auto"/>
        <w:ind w:left="0" w:right="493" w:hanging="2"/>
        <w:rPr>
          <w:rFonts w:ascii="Arial" w:eastAsia="Arial" w:hAnsi="Arial" w:cs="Arial"/>
          <w:b/>
          <w:sz w:val="22"/>
          <w:szCs w:val="22"/>
        </w:rPr>
      </w:pPr>
    </w:p>
    <w:p w:rsidR="00F24716" w:rsidRDefault="000C20F9">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color w:val="000000"/>
          <w:sz w:val="22"/>
          <w:szCs w:val="22"/>
        </w:rPr>
        <w:t>Applicants in categories 1, 2, 4 &amp; 5 should obtain from the school the Supplementary Information Form which should be completed by their minister of religion in support of their application, so that the Governors may consider their application fully.</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i/>
          <w:color w:val="000000"/>
          <w:sz w:val="22"/>
          <w:szCs w:val="22"/>
        </w:rPr>
      </w:pPr>
    </w:p>
    <w:p w:rsidR="00F24716" w:rsidRDefault="000C20F9">
      <w:pPr>
        <w:widowControl w:val="0"/>
        <w:pBdr>
          <w:top w:val="nil"/>
          <w:left w:val="nil"/>
          <w:bottom w:val="nil"/>
          <w:right w:val="nil"/>
          <w:between w:val="nil"/>
        </w:pBdr>
        <w:spacing w:line="240" w:lineRule="auto"/>
        <w:ind w:left="0" w:right="495" w:hanging="2"/>
        <w:rPr>
          <w:rFonts w:ascii="Arial" w:eastAsia="Arial" w:hAnsi="Arial" w:cs="Arial"/>
          <w:i/>
          <w:sz w:val="22"/>
          <w:szCs w:val="22"/>
        </w:rPr>
      </w:pPr>
      <w:r>
        <w:rPr>
          <w:rFonts w:ascii="Arial" w:eastAsia="Arial" w:hAnsi="Arial" w:cs="Arial"/>
          <w:color w:val="000000"/>
          <w:sz w:val="22"/>
          <w:szCs w:val="22"/>
        </w:rPr>
        <w:t>6.</w:t>
      </w:r>
      <w:r>
        <w:rPr>
          <w:rFonts w:ascii="Arial" w:eastAsia="Arial" w:hAnsi="Arial" w:cs="Arial"/>
          <w:b/>
          <w:color w:val="000000"/>
          <w:sz w:val="22"/>
          <w:szCs w:val="22"/>
        </w:rPr>
        <w:t xml:space="preserve"> </w:t>
      </w:r>
      <w:r>
        <w:rPr>
          <w:rFonts w:ascii="Arial" w:eastAsia="Arial" w:hAnsi="Arial" w:cs="Arial"/>
          <w:b/>
          <w:color w:val="000000"/>
          <w:sz w:val="22"/>
          <w:szCs w:val="22"/>
        </w:rPr>
        <w:tab/>
        <w:t xml:space="preserve"> Any other children</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i/>
          <w:sz w:val="22"/>
          <w:szCs w:val="22"/>
        </w:rPr>
      </w:pPr>
    </w:p>
    <w:p w:rsidR="00F24716" w:rsidRDefault="000C20F9">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color w:val="000000"/>
          <w:sz w:val="22"/>
          <w:szCs w:val="22"/>
        </w:rPr>
        <w:t xml:space="preserve">In the event of </w:t>
      </w:r>
      <w:r>
        <w:rPr>
          <w:rFonts w:ascii="Arial" w:eastAsia="Arial" w:hAnsi="Arial" w:cs="Arial"/>
          <w:sz w:val="22"/>
          <w:szCs w:val="22"/>
        </w:rPr>
        <w:t>oversubscription</w:t>
      </w:r>
      <w:r>
        <w:rPr>
          <w:rFonts w:ascii="Arial" w:eastAsia="Arial" w:hAnsi="Arial" w:cs="Arial"/>
          <w:color w:val="000000"/>
          <w:sz w:val="22"/>
          <w:szCs w:val="22"/>
        </w:rPr>
        <w:t xml:space="preserve"> in any of the above categories, the Governors will g</w:t>
      </w:r>
      <w:r>
        <w:rPr>
          <w:rFonts w:ascii="Arial" w:eastAsia="Arial" w:hAnsi="Arial" w:cs="Arial"/>
          <w:sz w:val="22"/>
          <w:szCs w:val="22"/>
        </w:rPr>
        <w:t>ive</w:t>
      </w:r>
      <w:r>
        <w:rPr>
          <w:rFonts w:ascii="Arial" w:eastAsia="Arial" w:hAnsi="Arial" w:cs="Arial"/>
          <w:color w:val="000000"/>
          <w:sz w:val="22"/>
          <w:szCs w:val="22"/>
        </w:rPr>
        <w:t xml:space="preserve"> </w:t>
      </w:r>
      <w:r>
        <w:rPr>
          <w:rFonts w:ascii="Arial" w:eastAsia="Arial" w:hAnsi="Arial" w:cs="Arial"/>
          <w:sz w:val="22"/>
          <w:szCs w:val="22"/>
        </w:rPr>
        <w:t>p</w:t>
      </w:r>
      <w:r>
        <w:rPr>
          <w:rFonts w:ascii="Arial" w:eastAsia="Arial" w:hAnsi="Arial" w:cs="Arial"/>
          <w:color w:val="000000"/>
          <w:sz w:val="22"/>
          <w:szCs w:val="22"/>
        </w:rPr>
        <w:t>riority in the following order:</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i/>
          <w:sz w:val="22"/>
          <w:szCs w:val="22"/>
        </w:rPr>
      </w:pPr>
    </w:p>
    <w:p w:rsidR="00F24716" w:rsidRDefault="000C20F9">
      <w:pPr>
        <w:widowControl w:val="0"/>
        <w:numPr>
          <w:ilvl w:val="0"/>
          <w:numId w:val="1"/>
        </w:numPr>
        <w:pBdr>
          <w:top w:val="nil"/>
          <w:left w:val="nil"/>
          <w:bottom w:val="nil"/>
          <w:right w:val="nil"/>
          <w:between w:val="nil"/>
        </w:pBdr>
        <w:spacing w:line="240" w:lineRule="auto"/>
        <w:ind w:left="0" w:right="493" w:hanging="2"/>
        <w:rPr>
          <w:rFonts w:ascii="Arial" w:eastAsia="Arial" w:hAnsi="Arial" w:cs="Arial"/>
          <w:color w:val="000000"/>
          <w:sz w:val="22"/>
          <w:szCs w:val="22"/>
        </w:rPr>
      </w:pPr>
      <w:r>
        <w:rPr>
          <w:rFonts w:ascii="Arial" w:eastAsia="Arial" w:hAnsi="Arial" w:cs="Arial"/>
          <w:b/>
          <w:color w:val="000000"/>
          <w:sz w:val="22"/>
          <w:szCs w:val="22"/>
        </w:rPr>
        <w:t>An applicant with a sibling (see note 4c) still attending the school at th</w:t>
      </w:r>
      <w:r>
        <w:rPr>
          <w:rFonts w:ascii="Arial" w:eastAsia="Arial" w:hAnsi="Arial" w:cs="Arial"/>
          <w:b/>
          <w:sz w:val="22"/>
          <w:szCs w:val="22"/>
        </w:rPr>
        <w:t>e time of entry.</w:t>
      </w:r>
    </w:p>
    <w:p w:rsidR="00F24716" w:rsidRDefault="000C20F9">
      <w:pPr>
        <w:widowControl w:val="0"/>
        <w:numPr>
          <w:ilvl w:val="0"/>
          <w:numId w:val="1"/>
        </w:numPr>
        <w:pBdr>
          <w:top w:val="nil"/>
          <w:left w:val="nil"/>
          <w:bottom w:val="nil"/>
          <w:right w:val="nil"/>
          <w:between w:val="nil"/>
        </w:pBdr>
        <w:spacing w:line="240" w:lineRule="auto"/>
        <w:ind w:left="0" w:right="493" w:hanging="2"/>
        <w:rPr>
          <w:rFonts w:ascii="Arial" w:eastAsia="Arial" w:hAnsi="Arial" w:cs="Arial"/>
          <w:color w:val="000000"/>
          <w:sz w:val="22"/>
          <w:szCs w:val="22"/>
        </w:rPr>
      </w:pPr>
      <w:r>
        <w:rPr>
          <w:rFonts w:ascii="Arial" w:eastAsia="Arial" w:hAnsi="Arial" w:cs="Arial"/>
          <w:b/>
          <w:sz w:val="22"/>
          <w:szCs w:val="22"/>
        </w:rPr>
        <w:t xml:space="preserve">        </w:t>
      </w:r>
      <w:r>
        <w:rPr>
          <w:rFonts w:ascii="Arial" w:eastAsia="Arial" w:hAnsi="Arial" w:cs="Arial"/>
          <w:b/>
          <w:color w:val="000000"/>
          <w:sz w:val="22"/>
          <w:szCs w:val="22"/>
        </w:rPr>
        <w:t>Proximity between home to school (see note 4e).</w:t>
      </w:r>
    </w:p>
    <w:p w:rsidR="00F24716" w:rsidRDefault="000C20F9">
      <w:pPr>
        <w:widowControl w:val="0"/>
        <w:numPr>
          <w:ilvl w:val="0"/>
          <w:numId w:val="2"/>
        </w:numPr>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b/>
          <w:color w:val="000000"/>
          <w:sz w:val="22"/>
          <w:szCs w:val="22"/>
        </w:rPr>
        <w:t>Tie breaker (see note 4f).</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b/>
          <w:sz w:val="22"/>
          <w:szCs w:val="22"/>
        </w:rPr>
      </w:pP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p>
    <w:p w:rsidR="00F24716" w:rsidRDefault="000C20F9">
      <w:pPr>
        <w:widowControl w:val="0"/>
        <w:pBdr>
          <w:top w:val="nil"/>
          <w:left w:val="nil"/>
          <w:bottom w:val="nil"/>
          <w:right w:val="nil"/>
          <w:between w:val="nil"/>
        </w:pBdr>
        <w:spacing w:line="240" w:lineRule="auto"/>
        <w:ind w:left="0" w:right="495" w:hanging="2"/>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Each application will be considered on the above criteria.</w:t>
      </w:r>
    </w:p>
    <w:p w:rsidR="00F24716" w:rsidRDefault="00F24716">
      <w:pPr>
        <w:widowControl w:val="0"/>
        <w:pBdr>
          <w:top w:val="nil"/>
          <w:left w:val="nil"/>
          <w:bottom w:val="nil"/>
          <w:right w:val="nil"/>
          <w:between w:val="nil"/>
        </w:pBdr>
        <w:spacing w:line="240" w:lineRule="auto"/>
        <w:ind w:left="0" w:right="495" w:hanging="2"/>
        <w:rPr>
          <w:rFonts w:ascii="Arial" w:eastAsia="Arial" w:hAnsi="Arial" w:cs="Arial"/>
          <w:sz w:val="22"/>
          <w:szCs w:val="22"/>
        </w:rPr>
      </w:pPr>
    </w:p>
    <w:p w:rsidR="00F24716" w:rsidRDefault="00F24716">
      <w:pPr>
        <w:widowControl w:val="0"/>
        <w:shd w:val="clear" w:color="auto" w:fill="FFFFFF"/>
        <w:spacing w:after="160" w:line="276" w:lineRule="auto"/>
        <w:ind w:left="0" w:hanging="2"/>
        <w:rPr>
          <w:rFonts w:ascii="Arial" w:eastAsia="Arial" w:hAnsi="Arial" w:cs="Arial"/>
          <w:sz w:val="22"/>
          <w:szCs w:val="22"/>
        </w:rPr>
      </w:pPr>
    </w:p>
    <w:p w:rsidR="00F24716" w:rsidRDefault="00F24716">
      <w:pPr>
        <w:widowControl w:val="0"/>
        <w:pBdr>
          <w:top w:val="nil"/>
          <w:left w:val="nil"/>
          <w:bottom w:val="nil"/>
          <w:right w:val="nil"/>
          <w:between w:val="nil"/>
        </w:pBdr>
        <w:spacing w:line="240" w:lineRule="auto"/>
        <w:ind w:left="0" w:right="495" w:hanging="2"/>
        <w:rPr>
          <w:rFonts w:ascii="Times" w:eastAsia="Times" w:hAnsi="Times" w:cs="Times"/>
          <w:sz w:val="22"/>
          <w:szCs w:val="22"/>
        </w:rPr>
      </w:pPr>
    </w:p>
    <w:sectPr w:rsidR="00F24716">
      <w:headerReference w:type="default" r:id="rId8"/>
      <w:footerReference w:type="default" r:id="rId9"/>
      <w:pgSz w:w="11880" w:h="1680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764" w:rsidRDefault="000C20F9">
      <w:pPr>
        <w:spacing w:line="240" w:lineRule="auto"/>
        <w:ind w:left="0" w:hanging="2"/>
      </w:pPr>
      <w:r>
        <w:separator/>
      </w:r>
    </w:p>
  </w:endnote>
  <w:endnote w:type="continuationSeparator" w:id="0">
    <w:p w:rsidR="00191764" w:rsidRDefault="000C20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716" w:rsidRDefault="00F24716">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764" w:rsidRDefault="000C20F9">
      <w:pPr>
        <w:spacing w:line="240" w:lineRule="auto"/>
        <w:ind w:left="0" w:hanging="2"/>
      </w:pPr>
      <w:r>
        <w:separator/>
      </w:r>
    </w:p>
  </w:footnote>
  <w:footnote w:type="continuationSeparator" w:id="0">
    <w:p w:rsidR="00191764" w:rsidRDefault="000C20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716" w:rsidRDefault="000C20F9">
    <w:pPr>
      <w:spacing w:line="276" w:lineRule="auto"/>
      <w:ind w:left="0" w:hanging="2"/>
      <w:jc w:val="center"/>
      <w:rPr>
        <w:rFonts w:ascii="Arial" w:eastAsia="Arial" w:hAnsi="Arial" w:cs="Arial"/>
        <w:sz w:val="72"/>
        <w:szCs w:val="72"/>
      </w:rPr>
    </w:pPr>
    <w:r>
      <w:rPr>
        <w:rFonts w:ascii="Arial" w:eastAsia="Arial" w:hAnsi="Arial" w:cs="Arial"/>
        <w:noProof/>
        <w:sz w:val="22"/>
        <w:szCs w:val="22"/>
      </w:rPr>
      <w:drawing>
        <wp:inline distT="228600" distB="228600" distL="228600" distR="228600">
          <wp:extent cx="2857832"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57832" cy="871538"/>
                  </a:xfrm>
                  <a:prstGeom prst="rect">
                    <a:avLst/>
                  </a:prstGeom>
                  <a:ln/>
                </pic:spPr>
              </pic:pic>
            </a:graphicData>
          </a:graphic>
        </wp:inline>
      </w:drawing>
    </w:r>
  </w:p>
  <w:p w:rsidR="00F24716" w:rsidRDefault="00F24716">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0"/>
        <w:szCs w:val="20"/>
      </w:rPr>
    </w:pPr>
  </w:p>
  <w:p w:rsidR="00F24716" w:rsidRDefault="00F24716">
    <w:pPr>
      <w:pBdr>
        <w:top w:val="nil"/>
        <w:left w:val="nil"/>
        <w:bottom w:val="nil"/>
        <w:right w:val="nil"/>
        <w:between w:val="nil"/>
      </w:pBdr>
      <w:tabs>
        <w:tab w:val="center" w:pos="4252"/>
        <w:tab w:val="right" w:pos="8504"/>
      </w:tabs>
      <w:spacing w:line="240" w:lineRule="auto"/>
      <w:ind w:left="0" w:hanging="2"/>
      <w:rPr>
        <w:rFonts w:ascii="Times" w:eastAsia="Times" w:hAnsi="Times" w:cs="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0F6F"/>
    <w:multiLevelType w:val="multilevel"/>
    <w:tmpl w:val="8864DDC2"/>
    <w:lvl w:ilvl="0">
      <w:start w:val="2"/>
      <w:numFmt w:val="lowerRoman"/>
      <w:lvlText w:val="%1)"/>
      <w:lvlJc w:val="left"/>
      <w:pPr>
        <w:ind w:left="1770" w:hanging="720"/>
      </w:pPr>
      <w:rPr>
        <w:vertAlign w:val="baseline"/>
      </w:rPr>
    </w:lvl>
    <w:lvl w:ilvl="1">
      <w:start w:val="1"/>
      <w:numFmt w:val="lowerLetter"/>
      <w:lvlText w:val="%2."/>
      <w:lvlJc w:val="left"/>
      <w:pPr>
        <w:ind w:left="2130" w:hanging="360"/>
      </w:pPr>
      <w:rPr>
        <w:vertAlign w:val="baseline"/>
      </w:rPr>
    </w:lvl>
    <w:lvl w:ilvl="2">
      <w:start w:val="1"/>
      <w:numFmt w:val="lowerRoman"/>
      <w:lvlText w:val="%3."/>
      <w:lvlJc w:val="right"/>
      <w:pPr>
        <w:ind w:left="2850" w:hanging="180"/>
      </w:pPr>
      <w:rPr>
        <w:vertAlign w:val="baseline"/>
      </w:rPr>
    </w:lvl>
    <w:lvl w:ilvl="3">
      <w:start w:val="1"/>
      <w:numFmt w:val="decimal"/>
      <w:lvlText w:val="%4."/>
      <w:lvlJc w:val="left"/>
      <w:pPr>
        <w:ind w:left="3570" w:hanging="360"/>
      </w:pPr>
      <w:rPr>
        <w:vertAlign w:val="baseline"/>
      </w:rPr>
    </w:lvl>
    <w:lvl w:ilvl="4">
      <w:start w:val="1"/>
      <w:numFmt w:val="lowerLetter"/>
      <w:lvlText w:val="%5."/>
      <w:lvlJc w:val="left"/>
      <w:pPr>
        <w:ind w:left="4290" w:hanging="360"/>
      </w:pPr>
      <w:rPr>
        <w:vertAlign w:val="baseline"/>
      </w:rPr>
    </w:lvl>
    <w:lvl w:ilvl="5">
      <w:start w:val="1"/>
      <w:numFmt w:val="lowerRoman"/>
      <w:lvlText w:val="%6."/>
      <w:lvlJc w:val="right"/>
      <w:pPr>
        <w:ind w:left="5010" w:hanging="180"/>
      </w:pPr>
      <w:rPr>
        <w:vertAlign w:val="baseline"/>
      </w:rPr>
    </w:lvl>
    <w:lvl w:ilvl="6">
      <w:start w:val="1"/>
      <w:numFmt w:val="decimal"/>
      <w:lvlText w:val="%7."/>
      <w:lvlJc w:val="left"/>
      <w:pPr>
        <w:ind w:left="5730" w:hanging="360"/>
      </w:pPr>
      <w:rPr>
        <w:vertAlign w:val="baseline"/>
      </w:rPr>
    </w:lvl>
    <w:lvl w:ilvl="7">
      <w:start w:val="1"/>
      <w:numFmt w:val="lowerLetter"/>
      <w:lvlText w:val="%8."/>
      <w:lvlJc w:val="left"/>
      <w:pPr>
        <w:ind w:left="6450" w:hanging="360"/>
      </w:pPr>
      <w:rPr>
        <w:vertAlign w:val="baseline"/>
      </w:rPr>
    </w:lvl>
    <w:lvl w:ilvl="8">
      <w:start w:val="1"/>
      <w:numFmt w:val="lowerRoman"/>
      <w:lvlText w:val="%9."/>
      <w:lvlJc w:val="right"/>
      <w:pPr>
        <w:ind w:left="7170" w:hanging="180"/>
      </w:pPr>
      <w:rPr>
        <w:vertAlign w:val="baseline"/>
      </w:rPr>
    </w:lvl>
  </w:abstractNum>
  <w:abstractNum w:abstractNumId="1" w15:restartNumberingAfterBreak="0">
    <w:nsid w:val="378F1DB1"/>
    <w:multiLevelType w:val="multilevel"/>
    <w:tmpl w:val="721E78BE"/>
    <w:lvl w:ilvl="0">
      <w:start w:val="1"/>
      <w:numFmt w:val="lowerRoman"/>
      <w:lvlText w:val="%1)"/>
      <w:lvlJc w:val="left"/>
      <w:pPr>
        <w:ind w:left="3261" w:hanging="720"/>
      </w:pPr>
      <w:rPr>
        <w:vertAlign w:val="baseline"/>
      </w:rPr>
    </w:lvl>
    <w:lvl w:ilvl="1">
      <w:start w:val="1"/>
      <w:numFmt w:val="lowerLetter"/>
      <w:lvlText w:val="%2."/>
      <w:lvlJc w:val="left"/>
      <w:pPr>
        <w:ind w:left="3621" w:hanging="360"/>
      </w:pPr>
      <w:rPr>
        <w:vertAlign w:val="baseline"/>
      </w:rPr>
    </w:lvl>
    <w:lvl w:ilvl="2">
      <w:start w:val="1"/>
      <w:numFmt w:val="lowerRoman"/>
      <w:lvlText w:val="%3."/>
      <w:lvlJc w:val="right"/>
      <w:pPr>
        <w:ind w:left="4341" w:hanging="180"/>
      </w:pPr>
      <w:rPr>
        <w:vertAlign w:val="baseline"/>
      </w:rPr>
    </w:lvl>
    <w:lvl w:ilvl="3">
      <w:start w:val="1"/>
      <w:numFmt w:val="decimal"/>
      <w:lvlText w:val="%4."/>
      <w:lvlJc w:val="left"/>
      <w:pPr>
        <w:ind w:left="5061" w:hanging="360"/>
      </w:pPr>
      <w:rPr>
        <w:vertAlign w:val="baseline"/>
      </w:rPr>
    </w:lvl>
    <w:lvl w:ilvl="4">
      <w:start w:val="1"/>
      <w:numFmt w:val="lowerLetter"/>
      <w:lvlText w:val="%5."/>
      <w:lvlJc w:val="left"/>
      <w:pPr>
        <w:ind w:left="5781" w:hanging="360"/>
      </w:pPr>
      <w:rPr>
        <w:vertAlign w:val="baseline"/>
      </w:rPr>
    </w:lvl>
    <w:lvl w:ilvl="5">
      <w:start w:val="1"/>
      <w:numFmt w:val="lowerRoman"/>
      <w:lvlText w:val="%6."/>
      <w:lvlJc w:val="right"/>
      <w:pPr>
        <w:ind w:left="6501" w:hanging="180"/>
      </w:pPr>
      <w:rPr>
        <w:vertAlign w:val="baseline"/>
      </w:rPr>
    </w:lvl>
    <w:lvl w:ilvl="6">
      <w:start w:val="1"/>
      <w:numFmt w:val="decimal"/>
      <w:lvlText w:val="%7."/>
      <w:lvlJc w:val="left"/>
      <w:pPr>
        <w:ind w:left="7221" w:hanging="360"/>
      </w:pPr>
      <w:rPr>
        <w:vertAlign w:val="baseline"/>
      </w:rPr>
    </w:lvl>
    <w:lvl w:ilvl="7">
      <w:start w:val="1"/>
      <w:numFmt w:val="lowerLetter"/>
      <w:lvlText w:val="%8."/>
      <w:lvlJc w:val="left"/>
      <w:pPr>
        <w:ind w:left="7941" w:hanging="360"/>
      </w:pPr>
      <w:rPr>
        <w:vertAlign w:val="baseline"/>
      </w:rPr>
    </w:lvl>
    <w:lvl w:ilvl="8">
      <w:start w:val="1"/>
      <w:numFmt w:val="lowerRoman"/>
      <w:lvlText w:val="%9."/>
      <w:lvlJc w:val="right"/>
      <w:pPr>
        <w:ind w:left="8661" w:hanging="180"/>
      </w:pPr>
      <w:rPr>
        <w:vertAlign w:val="baseline"/>
      </w:rPr>
    </w:lvl>
  </w:abstractNum>
  <w:abstractNum w:abstractNumId="2" w15:restartNumberingAfterBreak="0">
    <w:nsid w:val="74D26C3D"/>
    <w:multiLevelType w:val="multilevel"/>
    <w:tmpl w:val="5B38EFCA"/>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16"/>
    <w:rsid w:val="00066801"/>
    <w:rsid w:val="000C20F9"/>
    <w:rsid w:val="00191764"/>
    <w:rsid w:val="008E579A"/>
    <w:rsid w:val="00F24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67CAF-D7A4-42AA-B28A-8A2E3F9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Palatino" w:hAnsi="Palatino" w:cs="Palatino"/>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widowControl w:val="0"/>
      <w:spacing w:line="360" w:lineRule="atLeast"/>
      <w:jc w:val="center"/>
    </w:pPr>
    <w:rPr>
      <w:rFonts w:ascii="Times" w:hAnsi="Times"/>
      <w:b/>
      <w:bCs/>
      <w:sz w:val="36"/>
      <w:bdr w:val="single" w:sz="4" w:space="0" w:color="aut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styleId="BodyText">
    <w:name w:val="Body Text"/>
    <w:basedOn w:val="Normal"/>
    <w:pPr>
      <w:widowControl w:val="0"/>
      <w:spacing w:line="360" w:lineRule="atLeast"/>
    </w:pPr>
    <w:rPr>
      <w:rFonts w:ascii="Times" w:hAnsi="Times"/>
      <w:sz w:val="3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7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Bjm+AaX7DLThhw6nlj9H0jgjQ==">CgMxLjA4AHIhMXJLUmhwTTROa2NxcEo2NjF6ZjluQ0EwakJneUM2R2dZ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1503</Characters>
  <Application>Microsoft Office Word</Application>
  <DocSecurity>0</DocSecurity>
  <Lines>12</Lines>
  <Paragraphs>3</Paragraphs>
  <ScaleCrop>false</ScaleCrop>
  <Company>School</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 Evans</dc:creator>
  <cp:lastModifiedBy>Helen Wildgust</cp:lastModifiedBy>
  <cp:revision>4</cp:revision>
  <dcterms:created xsi:type="dcterms:W3CDTF">2019-02-15T16:14:00Z</dcterms:created>
  <dcterms:modified xsi:type="dcterms:W3CDTF">2024-12-16T10:30:00Z</dcterms:modified>
</cp:coreProperties>
</file>